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line="440" w:lineRule="exact"/>
        <w:ind w:left="440" w:leftChars="200"/>
        <w:contextualSpacing/>
        <w:jc w:val="center"/>
        <w:rPr>
          <w:rFonts w:ascii="宋体" w:hAnsi="宋体" w:eastAsia="宋体" w:cs="宋体"/>
          <w:b/>
          <w:bCs/>
          <w:kern w:val="2"/>
          <w:sz w:val="30"/>
          <w:szCs w:val="30"/>
        </w:rPr>
      </w:pPr>
      <w:bookmarkStart w:id="0" w:name="_Toc19960_WPSOffice_Level2"/>
      <w:r>
        <w:rPr>
          <w:rFonts w:hint="eastAsia" w:ascii="宋体" w:hAnsi="宋体" w:eastAsia="宋体" w:cs="宋体"/>
          <w:b/>
          <w:bCs/>
          <w:kern w:val="2"/>
          <w:sz w:val="30"/>
          <w:szCs w:val="30"/>
        </w:rPr>
        <w:t>达州市达川区中医医院银医合作方案</w:t>
      </w:r>
    </w:p>
    <w:p>
      <w:pPr>
        <w:pStyle w:val="11"/>
        <w:spacing w:line="440" w:lineRule="exact"/>
        <w:ind w:firstLine="602"/>
        <w:contextualSpacing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b/>
          <w:bCs/>
          <w:sz w:val="30"/>
          <w:szCs w:val="30"/>
        </w:rPr>
        <w:tab/>
      </w:r>
      <w:r>
        <w:rPr>
          <w:rFonts w:hint="eastAsia" w:ascii="宋体" w:hAnsi="宋体" w:cs="宋体"/>
          <w:sz w:val="28"/>
          <w:szCs w:val="28"/>
        </w:rPr>
        <w:t>为更好提升医院的整体医疗服务水平，提高患者体验度，医院通过竞争性谈判方式确定银医合作银行，以“互联网+智慧医院”为核心，利用先进的互联网技术和银行金融科技平台，通过银联卡、微信/支付宝、人脸识别等多种支付手段，为患者提供方便快捷、安全高效的就诊缴费和资金结算服务，并将移动互联网就诊平台与自助就诊设备进行数据共享，实现从线上到线下的全流程电子化、联网化、智能化的无缝一站式服务,促成医院智慧银医模式建立。</w:t>
      </w:r>
    </w:p>
    <w:p>
      <w:pPr>
        <w:widowControl w:val="0"/>
        <w:adjustRightInd/>
        <w:snapToGrid/>
        <w:spacing w:line="440" w:lineRule="exact"/>
        <w:ind w:left="440" w:leftChars="200"/>
        <w:contextualSpacing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（一）医院为银行提供的服务项目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1、我院在合作行营业部开立单位结算账户（基本存款帐户），原则上所有缴存资金进入该账户（含医保通回款）；保持日均存款余额为500万以上。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2、我院员工在合作行网点开立个人结算账户，将我院员工工资由合作行代发。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3、与合作行合作期限自签订合同日起不低于8年。</w:t>
      </w:r>
    </w:p>
    <w:p>
      <w:pPr>
        <w:widowControl w:val="0"/>
        <w:adjustRightInd/>
        <w:snapToGrid/>
        <w:spacing w:line="440" w:lineRule="exact"/>
        <w:ind w:firstLine="562" w:firstLineChars="200"/>
        <w:contextualSpacing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（二）银行为医院提供的服务项目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1、账户现金管理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为我院提供包括账户管理、收付款管理、流动性管理、短期投资管理、资金风险管理在内的全方位现金管理服务，并对我院的计息与结息工作提供便利服务。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2、代收服务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向我院提供线上移动就医全流程服务平台，可在医院微信公众号和手机银行上实现。线下提供自助终端医疗服务。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3、资产管理服务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为我院提供各类存款、结算类产品，并提供优质、高效、安全、便捷的账户服务，同时，为我院提供院受托理财、人民币理财产品等服务。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4、网上银行服务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为我院开立网上银行，提供网上账户查询、资金归集、对外支付、内部转账、网上缴税、电子对账等综合电子化服务。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5、银医服务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根据我院所提需求，为我院提供不低于289.6万元银医服务（详见附件），包含且不限于自助机具、相关接口服务费等线上线下服务等费用，在双方合作期间，根据医院规模和业绩的提升应再次提供相应规模银医服务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6、其他个性化金融服务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对于我院的个性化的金融需求，在现有产品的基础上不断组合创新，以医院需求为导向，为我院设计开发特色金融产品。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合作行需高度重视与我院的合作，专门成立合作企业金融服务项目专业团队，竭诚为我院提供优质金融服务在办理我院各项金融业务时，提供安全、快捷、高效服务；设立咨询投诉电话，对反映的各种金融服务质量问题，在1个工作日内做出实质性回复；在遵循相关金融政策法规的前提下，根据院实际需要“量身订做”其他金融产品及服务措施；合作行专门确定一名工作为人员对我院服务。</w:t>
      </w:r>
    </w:p>
    <w:p>
      <w:pPr>
        <w:widowControl w:val="0"/>
        <w:adjustRightInd/>
        <w:snapToGrid/>
        <w:spacing w:line="440" w:lineRule="exact"/>
        <w:ind w:firstLine="562" w:firstLineChars="200"/>
        <w:contextualSpacing/>
        <w:rPr>
          <w:rFonts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（三）信息化建设及配套设备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银行应当以HIS运维、网络运维、全民健康平台、电子健康卡（HIS厂商收费）、电子健康卡（平台公司收费）、四川省医保APP、医保事前提醒、电子票据、自助机及相关接口改造、服务器、存储、防火墙、路由器，配套设备以实际需求为准，由中标银行出资，采购人和中标银行共同完成设备采购、安装调试。</w:t>
      </w:r>
    </w:p>
    <w:p>
      <w:pPr>
        <w:widowControl w:val="0"/>
        <w:adjustRightInd/>
        <w:snapToGrid/>
        <w:spacing w:line="440" w:lineRule="exact"/>
        <w:ind w:firstLine="562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</w:t>
      </w:r>
      <w:r>
        <w:rPr>
          <w:rFonts w:hint="eastAsia" w:ascii="宋体" w:hAnsi="宋体" w:eastAsia="宋体" w:cs="宋体"/>
          <w:kern w:val="2"/>
          <w:sz w:val="28"/>
          <w:szCs w:val="28"/>
        </w:rPr>
        <w:t>、商务要求</w:t>
      </w:r>
      <w:bookmarkEnd w:id="0"/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1、服务期限：2个月内完信息建设（具体以合同约定准）。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2、验收：参照政府采购相关法律法规、《财政部关于进一步加强政府采购需求和履约验收管理的指导意见》（财库〔2016〕205 号）、《政府采购需求管理办法》（财库〔2021〕22号）的要求及国家行业主管部门规定的标准、方法和内容进行验收。</w:t>
      </w:r>
    </w:p>
    <w:p>
      <w:pPr>
        <w:widowControl w:val="0"/>
        <w:adjustRightInd/>
        <w:snapToGrid/>
        <w:spacing w:line="440" w:lineRule="exact"/>
        <w:ind w:firstLine="560" w:firstLineChars="200"/>
        <w:contextualSpacing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宋体" w:hAnsi="宋体" w:eastAsia="宋体" w:cs="宋体"/>
          <w:kern w:val="2"/>
          <w:sz w:val="28"/>
          <w:szCs w:val="28"/>
        </w:rPr>
        <w:t>、其他未尽事宜，由采购人与中标人在签订采购合同时详细约定。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F4FE7"/>
    <w:rsid w:val="001A016C"/>
    <w:rsid w:val="002B1810"/>
    <w:rsid w:val="00323B43"/>
    <w:rsid w:val="0037283D"/>
    <w:rsid w:val="003C076C"/>
    <w:rsid w:val="003D37D8"/>
    <w:rsid w:val="00426133"/>
    <w:rsid w:val="004358AB"/>
    <w:rsid w:val="00601F26"/>
    <w:rsid w:val="006700C8"/>
    <w:rsid w:val="00690DAC"/>
    <w:rsid w:val="008B7726"/>
    <w:rsid w:val="008C2BED"/>
    <w:rsid w:val="00916F27"/>
    <w:rsid w:val="00953D1B"/>
    <w:rsid w:val="00A95173"/>
    <w:rsid w:val="00AB1BE8"/>
    <w:rsid w:val="00C431C5"/>
    <w:rsid w:val="00CC732C"/>
    <w:rsid w:val="00D31D50"/>
    <w:rsid w:val="00E02E2D"/>
    <w:rsid w:val="00E9783E"/>
    <w:rsid w:val="00F12843"/>
    <w:rsid w:val="00F84222"/>
    <w:rsid w:val="1D7B12F2"/>
    <w:rsid w:val="6034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widowControl w:val="0"/>
      <w:adjustRightInd/>
      <w:snapToGrid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正文文本缩进 2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1">
    <w:name w:val="正文首行缩进两字符"/>
    <w:basedOn w:val="1"/>
    <w:uiPriority w:val="0"/>
    <w:pPr>
      <w:widowControl w:val="0"/>
      <w:adjustRightInd/>
      <w:snapToGrid/>
      <w:spacing w:after="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框文本 Char"/>
    <w:basedOn w:val="7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1288</Words>
  <Characters>1309</Characters>
  <Lines>9</Lines>
  <Paragraphs>2</Paragraphs>
  <TotalTime>296</TotalTime>
  <ScaleCrop>false</ScaleCrop>
  <LinksUpToDate>false</LinksUpToDate>
  <CharactersWithSpaces>1311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糖糖糖</cp:lastModifiedBy>
  <cp:lastPrinted>2022-04-24T09:46:49Z</cp:lastPrinted>
  <dcterms:modified xsi:type="dcterms:W3CDTF">2022-04-24T09:54:22Z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0E25993F0DD04ED39DADCF7BDACBF2B7</vt:lpwstr>
  </property>
  <property fmtid="{D5CDD505-2E9C-101B-9397-08002B2CF9AE}" pid="4" name="commondata">
    <vt:lpwstr>eyJoZGlkIjoiOGVhMjFkY2Y1NTg0NTUyOGM3MzhhNDBlNWZkYzhhZDYifQ==</vt:lpwstr>
  </property>
</Properties>
</file>